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55" w:rsidRPr="00AF2F3D" w:rsidRDefault="004D5855" w:rsidP="00AF2F3D">
      <w:pPr>
        <w:widowControl w:val="0"/>
        <w:adjustRightInd w:val="0"/>
        <w:jc w:val="center"/>
        <w:rPr>
          <w:rFonts w:ascii="Times New Roman" w:hAnsi="Times New Roman"/>
          <w:sz w:val="20"/>
          <w:szCs w:val="16"/>
        </w:rPr>
      </w:pPr>
      <w:r w:rsidRPr="00AF2F3D">
        <w:rPr>
          <w:rFonts w:ascii="Times New Roman" w:eastAsia="Calibri" w:hAnsi="Times New Roman"/>
          <w:b/>
          <w:sz w:val="28"/>
        </w:rPr>
        <w:t>Sealed Source Wipe Test Report</w:t>
      </w:r>
    </w:p>
    <w:p w:rsidR="004D5855" w:rsidRPr="00FC4CB3" w:rsidRDefault="00FA2880" w:rsidP="00FA2880">
      <w:pPr>
        <w:widowControl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Environmental Health, Safety, and Emergency Management</w:t>
      </w:r>
    </w:p>
    <w:p w:rsidR="004D5855" w:rsidRDefault="004D5855" w:rsidP="004D5855">
      <w:pPr>
        <w:widowControl w:val="0"/>
        <w:adjustRightInd w:val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WTR</w:t>
      </w:r>
      <w:r w:rsidRPr="00FC4CB3">
        <w:rPr>
          <w:rFonts w:ascii="Times New Roman" w:hAnsi="Times New Roman"/>
        </w:rPr>
        <w:t xml:space="preserve"> # </w:t>
      </w:r>
      <w:r w:rsidR="00D1682F" w:rsidRPr="00FC4CB3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Pr="00FC4CB3">
        <w:rPr>
          <w:rFonts w:ascii="Times New Roman" w:hAnsi="Times New Roman"/>
        </w:rPr>
        <w:instrText xml:space="preserve"> FORMTEXT </w:instrText>
      </w:r>
      <w:r w:rsidR="00D1682F" w:rsidRPr="00FC4CB3">
        <w:rPr>
          <w:rFonts w:ascii="Times New Roman" w:hAnsi="Times New Roman"/>
        </w:rPr>
      </w:r>
      <w:r w:rsidR="00D1682F" w:rsidRPr="00FC4CB3">
        <w:rPr>
          <w:rFonts w:ascii="Times New Roman" w:hAnsi="Times New Roman"/>
        </w:rPr>
        <w:fldChar w:fldCharType="separate"/>
      </w:r>
      <w:r w:rsidRPr="00FC4CB3">
        <w:t> </w:t>
      </w:r>
      <w:r w:rsidRPr="00FC4CB3">
        <w:t> </w:t>
      </w:r>
      <w:r w:rsidRPr="00FC4CB3">
        <w:t> </w:t>
      </w:r>
      <w:r w:rsidRPr="00FC4CB3">
        <w:t> </w:t>
      </w:r>
      <w:r w:rsidRPr="00FC4CB3">
        <w:t> </w:t>
      </w:r>
      <w:r w:rsidR="00D1682F" w:rsidRPr="00FC4CB3">
        <w:rPr>
          <w:rFonts w:ascii="Times New Roman" w:hAnsi="Times New Roman"/>
        </w:rPr>
        <w:fldChar w:fldCharType="end"/>
      </w:r>
      <w:r w:rsidRPr="00FC4CB3">
        <w:rPr>
          <w:rFonts w:ascii="Times New Roman" w:hAnsi="Times New Roman"/>
        </w:rPr>
        <w:t xml:space="preserve"> </w:t>
      </w:r>
      <w:r w:rsidR="00FA2880">
        <w:rPr>
          <w:rFonts w:ascii="Times New Roman" w:hAnsi="Times New Roman"/>
          <w:i/>
          <w:sz w:val="20"/>
        </w:rPr>
        <w:t>(To be filled out by EHS&amp;EM</w:t>
      </w:r>
      <w:r w:rsidRPr="00FC4CB3">
        <w:rPr>
          <w:rFonts w:ascii="Times New Roman" w:hAnsi="Times New Roman"/>
          <w:i/>
          <w:sz w:val="20"/>
        </w:rPr>
        <w:t>)</w:t>
      </w:r>
    </w:p>
    <w:p w:rsidR="00195AE5" w:rsidRPr="00FC4CB3" w:rsidRDefault="00195AE5" w:rsidP="004D5855">
      <w:pPr>
        <w:widowControl w:val="0"/>
        <w:adjustRightInd w:val="0"/>
        <w:jc w:val="center"/>
        <w:rPr>
          <w:rFonts w:ascii="Times New Roman" w:hAnsi="Times New Roman"/>
          <w:i/>
          <w:iCs/>
          <w:sz w:val="14"/>
          <w:szCs w:val="16"/>
        </w:rPr>
      </w:pPr>
    </w:p>
    <w:p w:rsidR="004D5855" w:rsidRDefault="004D5855" w:rsidP="004D5855">
      <w:pPr>
        <w:widowControl w:val="0"/>
        <w:adjustRightInd w:val="0"/>
        <w:ind w:left="720"/>
        <w:rPr>
          <w:rFonts w:ascii="Times New Roman" w:hAnsi="Times New Roman"/>
          <w:iCs/>
          <w:sz w:val="20"/>
          <w:szCs w:val="20"/>
        </w:rPr>
      </w:pPr>
    </w:p>
    <w:p w:rsidR="004D5855" w:rsidRPr="00FC4CB3" w:rsidRDefault="004D5855" w:rsidP="00AF2F3D">
      <w:pPr>
        <w:widowControl w:val="0"/>
        <w:adjustRightInd w:val="0"/>
        <w:ind w:left="720" w:right="720"/>
        <w:jc w:val="both"/>
        <w:rPr>
          <w:rFonts w:ascii="Times New Roman" w:hAnsi="Times New Roman"/>
          <w:iCs/>
          <w:sz w:val="20"/>
          <w:szCs w:val="20"/>
        </w:rPr>
      </w:pPr>
      <w:r w:rsidRPr="000A7140">
        <w:rPr>
          <w:rFonts w:ascii="Times New Roman" w:hAnsi="Times New Roman"/>
          <w:b/>
          <w:iCs/>
          <w:sz w:val="20"/>
          <w:szCs w:val="20"/>
        </w:rPr>
        <w:t>Note</w:t>
      </w:r>
      <w:r>
        <w:rPr>
          <w:rFonts w:ascii="Times New Roman" w:hAnsi="Times New Roman"/>
          <w:iCs/>
          <w:sz w:val="20"/>
          <w:szCs w:val="20"/>
        </w:rPr>
        <w:t xml:space="preserve">:  </w:t>
      </w:r>
      <w:r w:rsidRPr="00C8305B">
        <w:rPr>
          <w:rFonts w:ascii="Times New Roman" w:eastAsia="Calibri" w:hAnsi="Times New Roman"/>
          <w:i/>
        </w:rPr>
        <w:t xml:space="preserve">ASU’s specific license required a biannual </w:t>
      </w:r>
      <w:r>
        <w:rPr>
          <w:rFonts w:ascii="Times New Roman" w:eastAsia="Calibri" w:hAnsi="Times New Roman"/>
          <w:i/>
        </w:rPr>
        <w:t xml:space="preserve">wipe test of all sealed sources using a </w:t>
      </w:r>
      <w:r w:rsidRPr="00C8305B">
        <w:rPr>
          <w:rFonts w:ascii="Times New Roman" w:hAnsi="Times New Roman"/>
          <w:i/>
        </w:rPr>
        <w:t>LKB Model 1209 RackBeta liquid scintillation counter</w:t>
      </w:r>
      <w:r>
        <w:rPr>
          <w:rFonts w:ascii="Times New Roman" w:hAnsi="Times New Roman"/>
          <w:i/>
        </w:rPr>
        <w:t>.</w:t>
      </w:r>
      <w:r w:rsidRPr="00C8305B">
        <w:rPr>
          <w:rFonts w:ascii="Times New Roman" w:eastAsia="Calibri" w:hAnsi="Times New Roman"/>
          <w:i/>
        </w:rPr>
        <w:t xml:space="preserve">  For Instructions on how to perform wipe test, please consult the Radiation Safety Officer. </w:t>
      </w:r>
      <w:bookmarkStart w:id="0" w:name="_GoBack"/>
      <w:bookmarkEnd w:id="0"/>
    </w:p>
    <w:p w:rsidR="004D5855" w:rsidRPr="00FC4CB3" w:rsidRDefault="004D5855" w:rsidP="004D5855">
      <w:pPr>
        <w:widowControl w:val="0"/>
        <w:adjustRightInd w:val="0"/>
        <w:rPr>
          <w:rFonts w:ascii="Times New Roman" w:hAnsi="Times New Roman"/>
          <w:sz w:val="16"/>
          <w:szCs w:val="16"/>
          <w:u w:val="single"/>
        </w:rPr>
      </w:pPr>
    </w:p>
    <w:p w:rsidR="004D5855" w:rsidRPr="00AF2F3D" w:rsidRDefault="004D5855" w:rsidP="00AF2F3D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C4CB3">
        <w:rPr>
          <w:rFonts w:ascii="Times New Roman" w:hAnsi="Times New Roman"/>
          <w:b/>
          <w:sz w:val="24"/>
          <w:szCs w:val="24"/>
        </w:rPr>
        <w:t xml:space="preserve">Section I: </w:t>
      </w:r>
      <w:r>
        <w:rPr>
          <w:rFonts w:ascii="Times New Roman" w:hAnsi="Times New Roman"/>
          <w:b/>
          <w:sz w:val="24"/>
          <w:szCs w:val="24"/>
        </w:rPr>
        <w:t>Background</w:t>
      </w:r>
    </w:p>
    <w:p w:rsidR="004D5855" w:rsidRPr="00A0226C" w:rsidRDefault="004D5855" w:rsidP="004D5855">
      <w:pPr>
        <w:pStyle w:val="ListParagraph"/>
        <w:widowControl w:val="0"/>
        <w:numPr>
          <w:ilvl w:val="0"/>
          <w:numId w:val="9"/>
        </w:numPr>
        <w:adjustRightInd w:val="0"/>
        <w:jc w:val="left"/>
        <w:rPr>
          <w:szCs w:val="24"/>
        </w:rPr>
      </w:pPr>
      <w:r w:rsidRPr="00A0226C">
        <w:rPr>
          <w:szCs w:val="24"/>
        </w:rPr>
        <w:t>Date</w:t>
      </w:r>
      <w:r>
        <w:rPr>
          <w:szCs w:val="24"/>
        </w:rPr>
        <w:t xml:space="preserve">: </w:t>
      </w:r>
      <w:r w:rsidR="00D1682F" w:rsidRPr="00A0226C">
        <w:fldChar w:fldCharType="begin">
          <w:ffData>
            <w:name w:val="Text1"/>
            <w:enabled/>
            <w:calcOnExit w:val="0"/>
            <w:textInput/>
          </w:ffData>
        </w:fldChar>
      </w:r>
      <w:r w:rsidRPr="00A0226C">
        <w:instrText xml:space="preserve"> FORMTEXT </w:instrText>
      </w:r>
      <w:r w:rsidR="00D1682F" w:rsidRPr="00A0226C">
        <w:fldChar w:fldCharType="separate"/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="00D1682F" w:rsidRPr="00A0226C">
        <w:fldChar w:fldCharType="end"/>
      </w:r>
    </w:p>
    <w:p w:rsidR="004D5855" w:rsidRPr="00FC4CB3" w:rsidRDefault="004D5855" w:rsidP="004D5855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D5855" w:rsidRPr="00A0226C" w:rsidRDefault="004D5855" w:rsidP="004D5855">
      <w:pPr>
        <w:pStyle w:val="ListParagraph"/>
        <w:widowControl w:val="0"/>
        <w:numPr>
          <w:ilvl w:val="0"/>
          <w:numId w:val="9"/>
        </w:numPr>
        <w:adjustRightInd w:val="0"/>
        <w:jc w:val="left"/>
        <w:rPr>
          <w:bCs/>
        </w:rPr>
      </w:pPr>
      <w:r>
        <w:t>Person Conducting Survey</w:t>
      </w:r>
      <w:r w:rsidRPr="00A0226C">
        <w:t xml:space="preserve">: </w:t>
      </w:r>
      <w:r w:rsidR="00D1682F" w:rsidRPr="00A0226C">
        <w:fldChar w:fldCharType="begin">
          <w:ffData>
            <w:name w:val="Text1"/>
            <w:enabled/>
            <w:calcOnExit w:val="0"/>
            <w:textInput/>
          </w:ffData>
        </w:fldChar>
      </w:r>
      <w:r w:rsidRPr="00A0226C">
        <w:instrText xml:space="preserve"> FORMTEXT </w:instrText>
      </w:r>
      <w:r w:rsidR="00D1682F" w:rsidRPr="00A0226C">
        <w:fldChar w:fldCharType="separate"/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="00D1682F" w:rsidRPr="00A0226C">
        <w:fldChar w:fldCharType="end"/>
      </w:r>
    </w:p>
    <w:p w:rsidR="004D5855" w:rsidRPr="000A7140" w:rsidRDefault="004D5855" w:rsidP="004D5855">
      <w:pPr>
        <w:pStyle w:val="ListParagraph"/>
        <w:widowControl w:val="0"/>
        <w:adjustRightInd w:val="0"/>
        <w:jc w:val="left"/>
        <w:rPr>
          <w:bCs/>
          <w:sz w:val="22"/>
        </w:rPr>
      </w:pPr>
    </w:p>
    <w:p w:rsidR="004D5855" w:rsidRPr="00A0226C" w:rsidRDefault="004D5855" w:rsidP="004D5855">
      <w:pPr>
        <w:pStyle w:val="ListParagraph"/>
        <w:widowControl w:val="0"/>
        <w:numPr>
          <w:ilvl w:val="0"/>
          <w:numId w:val="9"/>
        </w:numPr>
        <w:adjustRightInd w:val="0"/>
        <w:jc w:val="left"/>
        <w:rPr>
          <w:bCs/>
        </w:rPr>
      </w:pPr>
      <w:r w:rsidRPr="00A0226C">
        <w:t xml:space="preserve">Department(s): </w:t>
      </w:r>
      <w:r w:rsidR="00D1682F" w:rsidRPr="00A0226C">
        <w:fldChar w:fldCharType="begin">
          <w:ffData>
            <w:name w:val="Text1"/>
            <w:enabled/>
            <w:calcOnExit w:val="0"/>
            <w:textInput/>
          </w:ffData>
        </w:fldChar>
      </w:r>
      <w:r w:rsidRPr="00A0226C">
        <w:instrText xml:space="preserve"> FORMTEXT </w:instrText>
      </w:r>
      <w:r w:rsidR="00D1682F" w:rsidRPr="00A0226C">
        <w:fldChar w:fldCharType="separate"/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="00D1682F" w:rsidRPr="00A0226C">
        <w:fldChar w:fldCharType="end"/>
      </w:r>
    </w:p>
    <w:p w:rsidR="004D5855" w:rsidRPr="000A7140" w:rsidRDefault="004D5855" w:rsidP="004D5855">
      <w:pPr>
        <w:rPr>
          <w:bCs/>
        </w:rPr>
      </w:pPr>
    </w:p>
    <w:p w:rsidR="004D5855" w:rsidRPr="00AF2F3D" w:rsidRDefault="004D5855" w:rsidP="00AF2F3D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II: Survey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2169"/>
        <w:gridCol w:w="2197"/>
        <w:gridCol w:w="2181"/>
      </w:tblGrid>
      <w:tr w:rsidR="004D5855" w:rsidTr="001A58F1">
        <w:tc>
          <w:tcPr>
            <w:tcW w:w="2394" w:type="dxa"/>
          </w:tcPr>
          <w:p w:rsidR="004D5855" w:rsidRPr="001A58F1" w:rsidRDefault="004D5855" w:rsidP="001A58F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rFonts w:ascii="Times New Roman" w:eastAsia="Calibri" w:hAnsi="Times New Roman"/>
                <w:sz w:val="20"/>
                <w:szCs w:val="20"/>
              </w:rPr>
              <w:t>Isotope</w:t>
            </w:r>
          </w:p>
        </w:tc>
        <w:tc>
          <w:tcPr>
            <w:tcW w:w="2394" w:type="dxa"/>
          </w:tcPr>
          <w:p w:rsidR="004D5855" w:rsidRPr="001A58F1" w:rsidRDefault="004D5855" w:rsidP="001A58F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rFonts w:ascii="Times New Roman" w:eastAsia="Calibri" w:hAnsi="Times New Roman"/>
                <w:sz w:val="20"/>
                <w:szCs w:val="20"/>
              </w:rPr>
              <w:t>Usage</w:t>
            </w:r>
          </w:p>
        </w:tc>
        <w:tc>
          <w:tcPr>
            <w:tcW w:w="2394" w:type="dxa"/>
          </w:tcPr>
          <w:p w:rsidR="004D5855" w:rsidRPr="001A58F1" w:rsidRDefault="004D5855" w:rsidP="001A58F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rFonts w:ascii="Times New Roman" w:eastAsia="Calibri" w:hAnsi="Times New Roman"/>
                <w:sz w:val="20"/>
                <w:szCs w:val="20"/>
              </w:rPr>
              <w:t>Location</w:t>
            </w:r>
          </w:p>
        </w:tc>
        <w:tc>
          <w:tcPr>
            <w:tcW w:w="2394" w:type="dxa"/>
          </w:tcPr>
          <w:p w:rsidR="004D5855" w:rsidRPr="001A58F1" w:rsidRDefault="004D5855" w:rsidP="001A58F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rFonts w:ascii="Times New Roman" w:eastAsia="Calibri" w:hAnsi="Times New Roman"/>
                <w:sz w:val="20"/>
                <w:szCs w:val="20"/>
              </w:rPr>
              <w:t>Results</w:t>
            </w:r>
            <w:r w:rsidR="0090306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03064" w:rsidRPr="00903064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="00903064" w:rsidRPr="00903064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</w:rPr>
              <w:t>μCi</w:t>
            </w:r>
            <w:proofErr w:type="spellEnd"/>
            <w:r w:rsidR="00903064" w:rsidRPr="00903064">
              <w:rPr>
                <w:rStyle w:val="apple-style-span"/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4D5855" w:rsidTr="001A58F1">
        <w:tc>
          <w:tcPr>
            <w:tcW w:w="2394" w:type="dxa"/>
          </w:tcPr>
          <w:p w:rsidR="004D5855" w:rsidRPr="001A58F1" w:rsidRDefault="00D1682F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855"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D1682F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855"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D1682F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855"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D1682F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5855"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="004D5855"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  <w:tr w:rsidR="004D5855" w:rsidTr="001A58F1"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  <w:tr w:rsidR="004D5855" w:rsidTr="001A58F1"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  <w:tr w:rsidR="004D5855" w:rsidTr="001A58F1"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  <w:tr w:rsidR="004D5855" w:rsidTr="001A58F1"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4D5855" w:rsidRPr="001A58F1" w:rsidRDefault="00AF2F3D" w:rsidP="001A58F1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</w:tbl>
    <w:p w:rsidR="004D5855" w:rsidRDefault="004D5855" w:rsidP="004D5855">
      <w:pPr>
        <w:widowControl w:val="0"/>
        <w:adjustRightInd w:val="0"/>
        <w:rPr>
          <w:rFonts w:ascii="Times New Roman" w:hAnsi="Times New Roman"/>
        </w:rPr>
      </w:pPr>
    </w:p>
    <w:p w:rsidR="00903064" w:rsidRPr="00FC4CB3" w:rsidRDefault="00746796" w:rsidP="00903064">
      <w:pPr>
        <w:widowControl w:val="0"/>
        <w:numPr>
          <w:ilvl w:val="0"/>
          <w:numId w:val="9"/>
        </w:numPr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Are any of the above sources designed for the purpose of emitting alpha particles</w:t>
      </w:r>
      <w:r w:rsidR="00903064">
        <w:rPr>
          <w:rFonts w:ascii="Times New Roman" w:hAnsi="Times New Roman"/>
        </w:rPr>
        <w:t xml:space="preserve">? </w:t>
      </w: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596"/>
        <w:gridCol w:w="330"/>
        <w:gridCol w:w="2482"/>
      </w:tblGrid>
      <w:tr w:rsidR="00903064" w:rsidRPr="00872E1F" w:rsidTr="00903064">
        <w:tc>
          <w:tcPr>
            <w:tcW w:w="330" w:type="dxa"/>
          </w:tcPr>
          <w:p w:rsidR="00903064" w:rsidRPr="00872E1F" w:rsidRDefault="00903064" w:rsidP="00903064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903064" w:rsidRPr="00903064" w:rsidRDefault="00903064" w:rsidP="00903064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330" w:type="dxa"/>
          </w:tcPr>
          <w:p w:rsidR="00903064" w:rsidRPr="00872E1F" w:rsidRDefault="00903064" w:rsidP="00903064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nil"/>
              <w:bottom w:val="nil"/>
              <w:right w:val="nil"/>
            </w:tcBorders>
          </w:tcPr>
          <w:p w:rsidR="00903064" w:rsidRPr="00903064" w:rsidRDefault="00903064" w:rsidP="00903064">
            <w:pPr>
              <w:widowControl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Yes,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Source:</w:t>
            </w:r>
            <w:r w:rsidRPr="001A5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</w:tbl>
    <w:p w:rsidR="00903064" w:rsidRDefault="00903064" w:rsidP="00903064">
      <w:pPr>
        <w:widowControl w:val="0"/>
        <w:adjustRightInd w:val="0"/>
        <w:ind w:left="720"/>
        <w:rPr>
          <w:rFonts w:ascii="Times New Roman" w:hAnsi="Times New Roman"/>
        </w:rPr>
      </w:pPr>
    </w:p>
    <w:p w:rsidR="00903064" w:rsidRDefault="00903064" w:rsidP="00903064">
      <w:pPr>
        <w:widowControl w:val="0"/>
        <w:numPr>
          <w:ilvl w:val="0"/>
          <w:numId w:val="9"/>
        </w:numPr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any of the </w:t>
      </w:r>
      <w:r w:rsidR="00AC2C6C">
        <w:rPr>
          <w:rFonts w:ascii="Times New Roman" w:hAnsi="Times New Roman"/>
        </w:rPr>
        <w:t xml:space="preserve">above sources contain 100 </w:t>
      </w:r>
      <w:proofErr w:type="spellStart"/>
      <w:r w:rsidR="00AC2C6C">
        <w:rPr>
          <w:rFonts w:ascii="Times New Roman" w:hAnsi="Times New Roman"/>
        </w:rPr>
        <w:t>micro</w:t>
      </w:r>
      <w:r>
        <w:rPr>
          <w:rFonts w:ascii="Times New Roman" w:hAnsi="Times New Roman"/>
        </w:rPr>
        <w:t>curies</w:t>
      </w:r>
      <w:proofErr w:type="spellEnd"/>
      <w:r>
        <w:rPr>
          <w:rFonts w:ascii="Times New Roman" w:hAnsi="Times New Roman"/>
        </w:rPr>
        <w:t xml:space="preserve"> or less of beta and/or gamma</w:t>
      </w:r>
      <w:r w:rsidR="00AC2C6C">
        <w:rPr>
          <w:rFonts w:ascii="Times New Roman" w:hAnsi="Times New Roman"/>
        </w:rPr>
        <w:t xml:space="preserve">-emitting material, or 10 </w:t>
      </w:r>
      <w:proofErr w:type="spellStart"/>
      <w:r w:rsidR="00AC2C6C">
        <w:rPr>
          <w:rFonts w:ascii="Times New Roman" w:hAnsi="Times New Roman"/>
        </w:rPr>
        <w:t>micro</w:t>
      </w:r>
      <w:r>
        <w:rPr>
          <w:rFonts w:ascii="Times New Roman" w:hAnsi="Times New Roman"/>
        </w:rPr>
        <w:t>curies</w:t>
      </w:r>
      <w:proofErr w:type="spellEnd"/>
      <w:r>
        <w:rPr>
          <w:rFonts w:ascii="Times New Roman" w:hAnsi="Times New Roman"/>
        </w:rPr>
        <w:t xml:space="preserve"> or less of alpha-emitting material?</w:t>
      </w: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596"/>
        <w:gridCol w:w="330"/>
        <w:gridCol w:w="2482"/>
      </w:tblGrid>
      <w:tr w:rsidR="00903064" w:rsidRPr="00872E1F" w:rsidTr="00903064">
        <w:tc>
          <w:tcPr>
            <w:tcW w:w="330" w:type="dxa"/>
          </w:tcPr>
          <w:p w:rsidR="00903064" w:rsidRPr="00872E1F" w:rsidRDefault="00903064" w:rsidP="00903064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903064" w:rsidRPr="00903064" w:rsidRDefault="00903064" w:rsidP="00903064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330" w:type="dxa"/>
          </w:tcPr>
          <w:p w:rsidR="00903064" w:rsidRPr="00872E1F" w:rsidRDefault="00903064" w:rsidP="00903064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nil"/>
              <w:bottom w:val="nil"/>
              <w:right w:val="nil"/>
            </w:tcBorders>
          </w:tcPr>
          <w:p w:rsidR="00903064" w:rsidRPr="00903064" w:rsidRDefault="00903064" w:rsidP="00903064">
            <w:pPr>
              <w:widowControl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Yes,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Source:</w:t>
            </w:r>
            <w:r w:rsidRPr="001A5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</w:tbl>
    <w:p w:rsidR="00903064" w:rsidRDefault="00903064" w:rsidP="00903064">
      <w:pPr>
        <w:widowControl w:val="0"/>
        <w:adjustRightInd w:val="0"/>
        <w:rPr>
          <w:rFonts w:ascii="Times New Roman" w:hAnsi="Times New Roman"/>
        </w:rPr>
      </w:pPr>
    </w:p>
    <w:p w:rsidR="00903064" w:rsidRDefault="000D2448" w:rsidP="00903064">
      <w:pPr>
        <w:widowControl w:val="0"/>
        <w:numPr>
          <w:ilvl w:val="0"/>
          <w:numId w:val="9"/>
        </w:numPr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Are any of the above non-alpha sources currently in storage and not being used?</w:t>
      </w: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"/>
        <w:gridCol w:w="596"/>
        <w:gridCol w:w="330"/>
        <w:gridCol w:w="2482"/>
      </w:tblGrid>
      <w:tr w:rsidR="000D2448" w:rsidRPr="00872E1F" w:rsidTr="0052200F">
        <w:tc>
          <w:tcPr>
            <w:tcW w:w="330" w:type="dxa"/>
          </w:tcPr>
          <w:p w:rsidR="000D2448" w:rsidRPr="00872E1F" w:rsidRDefault="000D2448" w:rsidP="005220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0D2448" w:rsidRPr="00903064" w:rsidRDefault="000D2448" w:rsidP="0052200F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330" w:type="dxa"/>
          </w:tcPr>
          <w:p w:rsidR="000D2448" w:rsidRPr="00872E1F" w:rsidRDefault="000D2448" w:rsidP="0052200F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nil"/>
              <w:bottom w:val="nil"/>
              <w:right w:val="nil"/>
            </w:tcBorders>
          </w:tcPr>
          <w:p w:rsidR="000D2448" w:rsidRPr="00903064" w:rsidRDefault="000D2448" w:rsidP="0052200F">
            <w:pPr>
              <w:widowControl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Yes,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Source:</w:t>
            </w:r>
            <w:r w:rsidRPr="001A5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58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8F1">
              <w:rPr>
                <w:sz w:val="20"/>
                <w:szCs w:val="20"/>
              </w:rPr>
              <w:instrText xml:space="preserve"> FORMTEXT </w:instrText>
            </w:r>
            <w:r w:rsidRPr="001A58F1">
              <w:rPr>
                <w:sz w:val="20"/>
                <w:szCs w:val="20"/>
              </w:rPr>
            </w:r>
            <w:r w:rsidRPr="001A58F1">
              <w:rPr>
                <w:sz w:val="20"/>
                <w:szCs w:val="20"/>
              </w:rPr>
              <w:fldChar w:fldCharType="separate"/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noProof/>
                <w:sz w:val="20"/>
                <w:szCs w:val="20"/>
              </w:rPr>
              <w:t> </w:t>
            </w:r>
            <w:r w:rsidRPr="001A58F1">
              <w:rPr>
                <w:sz w:val="20"/>
                <w:szCs w:val="20"/>
              </w:rPr>
              <w:fldChar w:fldCharType="end"/>
            </w:r>
          </w:p>
        </w:tc>
      </w:tr>
    </w:tbl>
    <w:p w:rsidR="000D2448" w:rsidRDefault="000D2448" w:rsidP="000D2448">
      <w:pPr>
        <w:widowControl w:val="0"/>
        <w:adjustRightInd w:val="0"/>
        <w:rPr>
          <w:rFonts w:ascii="Times New Roman" w:hAnsi="Times New Roman"/>
        </w:rPr>
      </w:pPr>
    </w:p>
    <w:p w:rsidR="000D2448" w:rsidRPr="000D2448" w:rsidRDefault="000D2448" w:rsidP="000D2448">
      <w:pPr>
        <w:widowControl w:val="0"/>
        <w:adjustRightInd w:val="0"/>
        <w:rPr>
          <w:rFonts w:ascii="Times New Roman" w:hAnsi="Times New Roman"/>
          <w:i/>
        </w:rPr>
      </w:pPr>
      <w:r w:rsidRPr="000D2448">
        <w:rPr>
          <w:rFonts w:ascii="Times New Roman" w:hAnsi="Times New Roman"/>
          <w:i/>
        </w:rPr>
        <w:t>Note: Sources identifi</w:t>
      </w:r>
      <w:r w:rsidR="00746796">
        <w:rPr>
          <w:rFonts w:ascii="Times New Roman" w:hAnsi="Times New Roman"/>
          <w:i/>
        </w:rPr>
        <w:t>ed in the answers to questions 5 and</w:t>
      </w:r>
      <w:r w:rsidRPr="000D2448">
        <w:rPr>
          <w:rFonts w:ascii="Times New Roman" w:hAnsi="Times New Roman"/>
          <w:i/>
        </w:rPr>
        <w:t xml:space="preserve"> 6 of this section are considered exempt from the University’s periodic wipe test requirement as noted in</w:t>
      </w:r>
      <w:r>
        <w:rPr>
          <w:rFonts w:ascii="Times New Roman" w:hAnsi="Times New Roman"/>
          <w:i/>
        </w:rPr>
        <w:t xml:space="preserve"> number 13 of</w:t>
      </w:r>
      <w:r w:rsidRPr="000D2448">
        <w:rPr>
          <w:rFonts w:ascii="Times New Roman" w:hAnsi="Times New Roman"/>
          <w:i/>
        </w:rPr>
        <w:t xml:space="preserve"> the conditions of the University’</w:t>
      </w:r>
      <w:r w:rsidR="00F228C3">
        <w:rPr>
          <w:rFonts w:ascii="Times New Roman" w:hAnsi="Times New Roman"/>
          <w:i/>
        </w:rPr>
        <w:t>s radioactive materials license</w:t>
      </w:r>
      <w:r w:rsidRPr="000D2448">
        <w:rPr>
          <w:rFonts w:ascii="Times New Roman" w:hAnsi="Times New Roman"/>
          <w:i/>
        </w:rPr>
        <w:t xml:space="preserve">. </w:t>
      </w:r>
    </w:p>
    <w:p w:rsidR="00903064" w:rsidRPr="00FC4CB3" w:rsidRDefault="00903064" w:rsidP="00903064">
      <w:pPr>
        <w:widowControl w:val="0"/>
        <w:adjustRightInd w:val="0"/>
        <w:ind w:left="720"/>
        <w:rPr>
          <w:rFonts w:ascii="Times New Roman" w:hAnsi="Times New Roman"/>
        </w:rPr>
      </w:pPr>
    </w:p>
    <w:p w:rsidR="00746796" w:rsidRDefault="00746796" w:rsidP="00746796">
      <w:pPr>
        <w:pStyle w:val="ListParagraph"/>
        <w:ind w:left="360"/>
        <w:jc w:val="left"/>
        <w:rPr>
          <w:bCs/>
          <w:iCs/>
          <w:sz w:val="22"/>
        </w:rPr>
      </w:pPr>
      <w:r w:rsidRPr="00FC4CB3">
        <w:rPr>
          <w:bCs/>
          <w:iCs/>
          <w:sz w:val="22"/>
        </w:rPr>
        <w:t xml:space="preserve">By submitting this </w:t>
      </w:r>
      <w:r>
        <w:rPr>
          <w:bCs/>
          <w:iCs/>
          <w:sz w:val="22"/>
        </w:rPr>
        <w:t>form</w:t>
      </w:r>
      <w:r w:rsidRPr="00FC4CB3">
        <w:rPr>
          <w:bCs/>
          <w:iCs/>
          <w:sz w:val="22"/>
        </w:rPr>
        <w:t xml:space="preserve">, </w:t>
      </w:r>
      <w:r>
        <w:rPr>
          <w:bCs/>
          <w:iCs/>
          <w:sz w:val="22"/>
        </w:rPr>
        <w:t>you</w:t>
      </w:r>
      <w:r w:rsidRPr="00FC4CB3">
        <w:rPr>
          <w:bCs/>
          <w:iCs/>
          <w:sz w:val="22"/>
        </w:rPr>
        <w:t xml:space="preserve"> a</w:t>
      </w:r>
      <w:r>
        <w:rPr>
          <w:bCs/>
          <w:iCs/>
          <w:sz w:val="22"/>
        </w:rPr>
        <w:t>ccept</w:t>
      </w:r>
      <w:r w:rsidRPr="00FC4CB3">
        <w:rPr>
          <w:bCs/>
          <w:iCs/>
          <w:sz w:val="22"/>
        </w:rPr>
        <w:t xml:space="preserve"> responsibility for </w:t>
      </w:r>
      <w:r>
        <w:rPr>
          <w:bCs/>
          <w:iCs/>
          <w:sz w:val="22"/>
        </w:rPr>
        <w:t>understanding and complying with Appalachian State University policy on the use of radioactive materials as described in the Appalachian State University Radiation Safety Manual.</w:t>
      </w:r>
    </w:p>
    <w:p w:rsidR="00746796" w:rsidRDefault="00746796" w:rsidP="00746796">
      <w:pPr>
        <w:pStyle w:val="ListParagraph"/>
        <w:ind w:left="360"/>
        <w:jc w:val="left"/>
        <w:rPr>
          <w:bCs/>
          <w:iCs/>
          <w:sz w:val="22"/>
        </w:rPr>
      </w:pPr>
    </w:p>
    <w:p w:rsidR="00746796" w:rsidRDefault="00746796" w:rsidP="00746796">
      <w:pPr>
        <w:spacing w:line="276" w:lineRule="auto"/>
        <w:ind w:left="216" w:firstLine="144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 certify that this survey is complete.</w:t>
      </w:r>
    </w:p>
    <w:p w:rsidR="00746796" w:rsidRPr="00B33020" w:rsidRDefault="00746796" w:rsidP="00746796">
      <w:pPr>
        <w:pStyle w:val="ListParagraph"/>
        <w:ind w:left="360"/>
        <w:jc w:val="left"/>
        <w:rPr>
          <w:bCs/>
          <w:iCs/>
          <w:sz w:val="22"/>
        </w:rPr>
      </w:pPr>
    </w:p>
    <w:p w:rsidR="00746796" w:rsidRPr="00FC4CB3" w:rsidRDefault="00746796" w:rsidP="00746796">
      <w:pPr>
        <w:ind w:left="360"/>
        <w:rPr>
          <w:rFonts w:ascii="Times New Roman" w:hAnsi="Times New Roman"/>
          <w:i/>
          <w:sz w:val="20"/>
          <w:szCs w:val="20"/>
        </w:rPr>
      </w:pPr>
    </w:p>
    <w:p w:rsidR="00746796" w:rsidRPr="00746796" w:rsidRDefault="00746796" w:rsidP="00746796">
      <w:pPr>
        <w:pStyle w:val="ListParagraph"/>
        <w:tabs>
          <w:tab w:val="left" w:pos="360"/>
        </w:tabs>
        <w:ind w:left="360"/>
        <w:jc w:val="left"/>
        <w:rPr>
          <w:bCs/>
          <w:sz w:val="22"/>
        </w:rPr>
      </w:pPr>
      <w:r w:rsidRPr="00FC4CB3">
        <w:rPr>
          <w:sz w:val="22"/>
        </w:rPr>
        <w:t>Sign</w:t>
      </w:r>
      <w:r>
        <w:rPr>
          <w:sz w:val="22"/>
        </w:rPr>
        <w:t>ature:</w:t>
      </w:r>
      <w:r>
        <w:rPr>
          <w:bCs/>
          <w:sz w:val="22"/>
        </w:rPr>
        <w:t xml:space="preserve"> </w:t>
      </w:r>
      <w:r w:rsidRPr="00FC4CB3">
        <w:rPr>
          <w:sz w:val="22"/>
        </w:rPr>
        <w:t>___________</w:t>
      </w:r>
      <w:r>
        <w:rPr>
          <w:sz w:val="22"/>
        </w:rPr>
        <w:t xml:space="preserve">___________________________  </w:t>
      </w:r>
    </w:p>
    <w:p w:rsidR="00195AE5" w:rsidRDefault="00195AE5" w:rsidP="00195AE5"/>
    <w:p w:rsidR="00E64DF3" w:rsidRPr="004D5855" w:rsidRDefault="00E64DF3" w:rsidP="000E19CB">
      <w:pPr>
        <w:autoSpaceDE/>
        <w:autoSpaceDN/>
        <w:rPr>
          <w:rFonts w:ascii="Times New Roman" w:eastAsia="Calibri" w:hAnsi="Times New Roman"/>
        </w:rPr>
      </w:pPr>
    </w:p>
    <w:sectPr w:rsidR="00E64DF3" w:rsidRPr="004D5855" w:rsidSect="00AF2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4C" w:rsidRDefault="005F464C" w:rsidP="00195AE5">
      <w:r>
        <w:separator/>
      </w:r>
    </w:p>
  </w:endnote>
  <w:endnote w:type="continuationSeparator" w:id="0">
    <w:p w:rsidR="005F464C" w:rsidRDefault="005F464C" w:rsidP="001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E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64" w:rsidRDefault="00B043A5">
    <w:pPr>
      <w:pStyle w:val="Footer"/>
    </w:pPr>
    <w:r>
      <w:t>Version – March 2013</w:t>
    </w:r>
    <w:r w:rsidR="003C20D4">
      <w:t>. Revised February 2018.</w:t>
    </w:r>
    <w:r w:rsidR="00903064">
      <w:tab/>
    </w:r>
    <w:r w:rsidR="00903064">
      <w:tab/>
      <w:t>Sealed Source Wipe Test Report</w:t>
    </w:r>
  </w:p>
  <w:p w:rsidR="00903064" w:rsidRDefault="00903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4C" w:rsidRDefault="005F464C" w:rsidP="00195AE5">
      <w:r>
        <w:separator/>
      </w:r>
    </w:p>
  </w:footnote>
  <w:footnote w:type="continuationSeparator" w:id="0">
    <w:p w:rsidR="005F464C" w:rsidRDefault="005F464C" w:rsidP="0019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64" w:rsidRDefault="00903064">
    <w:pPr>
      <w:pStyle w:val="Header"/>
    </w:pPr>
    <w:r>
      <w:tab/>
    </w:r>
    <w:r>
      <w:tab/>
    </w:r>
    <w:r w:rsidR="00FA2880">
      <w:rPr>
        <w:noProof/>
      </w:rPr>
      <w:drawing>
        <wp:inline distT="0" distB="0" distL="0" distR="0">
          <wp:extent cx="2098626" cy="6203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semlogo7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987" cy="629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064"/>
    <w:multiLevelType w:val="hybridMultilevel"/>
    <w:tmpl w:val="21A2B3DC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E0F"/>
    <w:multiLevelType w:val="hybridMultilevel"/>
    <w:tmpl w:val="0922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5DE"/>
    <w:multiLevelType w:val="hybridMultilevel"/>
    <w:tmpl w:val="3200A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A23E7"/>
    <w:multiLevelType w:val="hybridMultilevel"/>
    <w:tmpl w:val="EE7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2B22"/>
    <w:multiLevelType w:val="hybridMultilevel"/>
    <w:tmpl w:val="AD72A416"/>
    <w:lvl w:ilvl="0" w:tplc="F60E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76828"/>
    <w:multiLevelType w:val="hybridMultilevel"/>
    <w:tmpl w:val="EE7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1B78"/>
    <w:multiLevelType w:val="hybridMultilevel"/>
    <w:tmpl w:val="21A2B3DC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115FE"/>
    <w:multiLevelType w:val="hybridMultilevel"/>
    <w:tmpl w:val="21A2B3DC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54E70"/>
    <w:multiLevelType w:val="hybridMultilevel"/>
    <w:tmpl w:val="F09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F7"/>
    <w:rsid w:val="00047DA1"/>
    <w:rsid w:val="000D2448"/>
    <w:rsid w:val="000E19CB"/>
    <w:rsid w:val="000E2C5A"/>
    <w:rsid w:val="00111322"/>
    <w:rsid w:val="0019551E"/>
    <w:rsid w:val="00195AE5"/>
    <w:rsid w:val="001A58F1"/>
    <w:rsid w:val="00207E10"/>
    <w:rsid w:val="00222DD1"/>
    <w:rsid w:val="003649B9"/>
    <w:rsid w:val="003C20D4"/>
    <w:rsid w:val="00470965"/>
    <w:rsid w:val="0049215A"/>
    <w:rsid w:val="004D03FA"/>
    <w:rsid w:val="004D5855"/>
    <w:rsid w:val="0052200F"/>
    <w:rsid w:val="005E6F89"/>
    <w:rsid w:val="005F464C"/>
    <w:rsid w:val="006D6989"/>
    <w:rsid w:val="00746796"/>
    <w:rsid w:val="007F5D94"/>
    <w:rsid w:val="008A58C1"/>
    <w:rsid w:val="008F63A1"/>
    <w:rsid w:val="00903064"/>
    <w:rsid w:val="009B02C9"/>
    <w:rsid w:val="00AC2C6C"/>
    <w:rsid w:val="00AE24F7"/>
    <w:rsid w:val="00AF2F3D"/>
    <w:rsid w:val="00B043A5"/>
    <w:rsid w:val="00B23278"/>
    <w:rsid w:val="00C92DEE"/>
    <w:rsid w:val="00C967E2"/>
    <w:rsid w:val="00CD0B72"/>
    <w:rsid w:val="00CE5913"/>
    <w:rsid w:val="00D1682F"/>
    <w:rsid w:val="00D676A6"/>
    <w:rsid w:val="00DF630F"/>
    <w:rsid w:val="00E64DF3"/>
    <w:rsid w:val="00EC7F28"/>
    <w:rsid w:val="00F04549"/>
    <w:rsid w:val="00F228C3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2ECD"/>
  <w15:chartTrackingRefBased/>
  <w15:docId w15:val="{795859F4-F5E2-DB4F-B360-F40D49FD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F7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F7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character" w:styleId="Hyperlink">
    <w:name w:val="Hyperlink"/>
    <w:uiPriority w:val="99"/>
    <w:unhideWhenUsed/>
    <w:rsid w:val="00AE24F7"/>
    <w:rPr>
      <w:color w:val="0000FF"/>
      <w:u w:val="single"/>
    </w:rPr>
  </w:style>
  <w:style w:type="table" w:styleId="TableGrid">
    <w:name w:val="Table Grid"/>
    <w:basedOn w:val="TableNormal"/>
    <w:uiPriority w:val="59"/>
    <w:rsid w:val="008A58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95A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AE5"/>
    <w:rPr>
      <w:rFonts w:ascii="CG Times (E1)" w:eastAsia="Times New Roman" w:hAnsi="CG Times (E1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AE5"/>
    <w:rPr>
      <w:rFonts w:ascii="CG Times (E1)" w:eastAsia="Times New Roman" w:hAnsi="CG Times (E1)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AE5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0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2304-8ACD-974C-9967-4C4BBBFD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cp:lastModifiedBy>Microsoft Office User</cp:lastModifiedBy>
  <cp:revision>3</cp:revision>
  <dcterms:created xsi:type="dcterms:W3CDTF">2018-02-16T20:13:00Z</dcterms:created>
  <dcterms:modified xsi:type="dcterms:W3CDTF">2018-02-16T20:17:00Z</dcterms:modified>
</cp:coreProperties>
</file>